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D446D"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5836E9E1" w14:textId="77777777" w:rsidR="00531DF7"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531DF7">
        <w:rPr>
          <w:rFonts w:ascii="Invesco Interstate Bold" w:hAnsi="Invesco Interstate Bold"/>
          <w:b/>
          <w:bCs/>
          <w:sz w:val="28"/>
          <w:szCs w:val="28"/>
        </w:rPr>
        <w:t>Obchodování s komoditam</w:t>
      </w:r>
      <w:r w:rsidR="00751513">
        <w:rPr>
          <w:rFonts w:ascii="Invesco Interstate Bold" w:hAnsi="Invesco Interstate Bold"/>
          <w:b/>
          <w:bCs/>
          <w:sz w:val="28"/>
          <w:szCs w:val="28"/>
        </w:rPr>
        <w:t>i</w:t>
      </w:r>
      <w:r w:rsidR="00531DF7">
        <w:rPr>
          <w:rFonts w:ascii="Invesco Interstate Bold" w:hAnsi="Invesco Interstate Bold"/>
          <w:b/>
          <w:bCs/>
          <w:sz w:val="28"/>
          <w:szCs w:val="28"/>
        </w:rPr>
        <w:t xml:space="preserve"> a jejich úloha v portfoliu</w:t>
      </w:r>
    </w:p>
    <w:p w14:paraId="4DB7463D" w14:textId="2D729813" w:rsidR="00B74187" w:rsidRPr="00531DF7" w:rsidRDefault="00531DF7" w:rsidP="00B65FF5">
      <w:pPr>
        <w:spacing w:line="276" w:lineRule="auto"/>
        <w:jc w:val="both"/>
        <w:rPr>
          <w:rFonts w:ascii="Invesco Interstate Bold" w:hAnsi="Invesco Interstate Bold"/>
          <w:b/>
          <w:bCs/>
          <w:sz w:val="24"/>
          <w:szCs w:val="24"/>
        </w:rPr>
      </w:pPr>
      <w:r w:rsidRPr="00531DF7">
        <w:rPr>
          <w:rFonts w:ascii="Invesco Interstate Bold" w:hAnsi="Invesco Interstate Bold"/>
          <w:b/>
          <w:bCs/>
          <w:sz w:val="24"/>
          <w:szCs w:val="24"/>
        </w:rPr>
        <w:t>V</w:t>
      </w:r>
      <w:r w:rsidR="002C1C66">
        <w:rPr>
          <w:rFonts w:ascii="Invesco Interstate Bold" w:hAnsi="Invesco Interstate Bold"/>
          <w:b/>
          <w:bCs/>
          <w:sz w:val="24"/>
          <w:szCs w:val="24"/>
        </w:rPr>
        <w:t>e společnosti</w:t>
      </w:r>
      <w:r w:rsidRPr="00531DF7">
        <w:rPr>
          <w:rFonts w:ascii="Invesco Interstate Bold" w:hAnsi="Invesco Interstate Bold"/>
          <w:b/>
          <w:bCs/>
          <w:sz w:val="24"/>
          <w:szCs w:val="24"/>
        </w:rPr>
        <w:t> </w:t>
      </w:r>
      <w:proofErr w:type="spellStart"/>
      <w:r w:rsidRPr="00531DF7">
        <w:rPr>
          <w:rFonts w:ascii="Invesco Interstate Bold" w:hAnsi="Invesco Interstate Bold"/>
          <w:b/>
          <w:bCs/>
          <w:sz w:val="24"/>
          <w:szCs w:val="24"/>
        </w:rPr>
        <w:t>Invesc</w:t>
      </w:r>
      <w:r w:rsidR="002C1C66">
        <w:rPr>
          <w:rFonts w:ascii="Invesco Interstate Bold" w:hAnsi="Invesco Interstate Bold"/>
          <w:b/>
          <w:bCs/>
          <w:sz w:val="24"/>
          <w:szCs w:val="24"/>
        </w:rPr>
        <w:t>o</w:t>
      </w:r>
      <w:proofErr w:type="spellEnd"/>
      <w:r w:rsidR="002C1C66">
        <w:rPr>
          <w:rFonts w:ascii="Invesco Interstate Bold" w:hAnsi="Invesco Interstate Bold"/>
          <w:b/>
          <w:bCs/>
          <w:sz w:val="24"/>
          <w:szCs w:val="24"/>
        </w:rPr>
        <w:t xml:space="preserve"> analytici </w:t>
      </w:r>
      <w:r w:rsidRPr="00531DF7">
        <w:rPr>
          <w:rFonts w:ascii="Invesco Interstate Bold" w:hAnsi="Invesco Interstate Bold"/>
          <w:b/>
          <w:bCs/>
          <w:sz w:val="24"/>
          <w:szCs w:val="24"/>
        </w:rPr>
        <w:t>zkoum</w:t>
      </w:r>
      <w:r w:rsidR="007E34E1">
        <w:rPr>
          <w:rFonts w:ascii="Invesco Interstate Bold" w:hAnsi="Invesco Interstate Bold"/>
          <w:b/>
          <w:bCs/>
          <w:sz w:val="24"/>
          <w:szCs w:val="24"/>
        </w:rPr>
        <w:t>ají</w:t>
      </w:r>
      <w:r w:rsidRPr="00531DF7">
        <w:rPr>
          <w:rFonts w:ascii="Invesco Interstate Bold" w:hAnsi="Invesco Interstate Bold"/>
          <w:b/>
          <w:bCs/>
          <w:sz w:val="24"/>
          <w:szCs w:val="24"/>
        </w:rPr>
        <w:t xml:space="preserve"> komodity a jejich</w:t>
      </w:r>
      <w:r>
        <w:rPr>
          <w:rFonts w:ascii="Invesco Interstate Bold" w:hAnsi="Invesco Interstate Bold"/>
          <w:b/>
          <w:bCs/>
          <w:sz w:val="24"/>
          <w:szCs w:val="24"/>
        </w:rPr>
        <w:t xml:space="preserve"> role</w:t>
      </w:r>
      <w:r w:rsidRPr="00531DF7">
        <w:rPr>
          <w:rFonts w:ascii="Invesco Interstate Bold" w:hAnsi="Invesco Interstate Bold"/>
          <w:b/>
          <w:bCs/>
          <w:sz w:val="24"/>
          <w:szCs w:val="24"/>
        </w:rPr>
        <w:t xml:space="preserve"> v portfoliích investorů. Na základě komoditního indexu Bloomberg ("BCOM") lze komodity obecně rozdělit na energetické, kovové a zemědělské komodity, ale také na další subsektory. </w:t>
      </w:r>
    </w:p>
    <w:p w14:paraId="0B0E6269" w14:textId="77777777" w:rsidR="00B65FF5" w:rsidRDefault="00B65FF5" w:rsidP="00B65FF5">
      <w:pPr>
        <w:spacing w:line="276" w:lineRule="auto"/>
        <w:jc w:val="both"/>
        <w:rPr>
          <w:rFonts w:ascii="Invesco Interstate Light" w:eastAsiaTheme="minorEastAsia" w:hAnsi="Invesco Interstate Light"/>
          <w:sz w:val="22"/>
          <w:szCs w:val="22"/>
        </w:rPr>
      </w:pPr>
    </w:p>
    <w:p w14:paraId="41E21E3A" w14:textId="77777777" w:rsidR="00B65FF5" w:rsidRDefault="00531DF7" w:rsidP="00531DF7">
      <w:pPr>
        <w:rPr>
          <w:rFonts w:ascii="Invesco Interstate Light" w:hAnsi="Invesco Interstate Light"/>
          <w:b/>
          <w:bCs/>
          <w:sz w:val="22"/>
          <w:szCs w:val="22"/>
        </w:rPr>
      </w:pPr>
      <w:r>
        <w:rPr>
          <w:rFonts w:ascii="Invesco Interstate Light" w:hAnsi="Invesco Interstate Light"/>
          <w:b/>
          <w:bCs/>
          <w:sz w:val="22"/>
          <w:szCs w:val="22"/>
        </w:rPr>
        <w:t xml:space="preserve">Schéma: </w:t>
      </w:r>
      <w:r w:rsidRPr="00531DF7">
        <w:rPr>
          <w:rFonts w:ascii="Invesco Interstate Light" w:hAnsi="Invesco Interstate Light"/>
          <w:b/>
          <w:bCs/>
          <w:sz w:val="22"/>
          <w:szCs w:val="22"/>
        </w:rPr>
        <w:t>Komoditní futures a burzy, na kterých se s nimi obchoduje</w:t>
      </w:r>
    </w:p>
    <w:p w14:paraId="1AAE66DF" w14:textId="77777777" w:rsidR="00175CC2" w:rsidRPr="00B74187" w:rsidRDefault="00175CC2" w:rsidP="00B74187">
      <w:pPr>
        <w:spacing w:line="276" w:lineRule="auto"/>
      </w:pPr>
    </w:p>
    <w:p w14:paraId="2FAD3DA6" w14:textId="77777777" w:rsidR="00B65FF5" w:rsidRDefault="00531DF7" w:rsidP="00B65FF5">
      <w:pPr>
        <w:spacing w:line="276" w:lineRule="auto"/>
        <w:jc w:val="both"/>
        <w:rPr>
          <w:rFonts w:ascii="Invesco Interstate Light" w:eastAsiaTheme="minorEastAsia" w:hAnsi="Invesco Interstate Light"/>
          <w:i/>
          <w:iCs/>
          <w:sz w:val="22"/>
          <w:szCs w:val="22"/>
        </w:rPr>
      </w:pPr>
      <w:r w:rsidRPr="00531DF7">
        <w:rPr>
          <w:rFonts w:ascii="Invesco Interstate Light" w:eastAsiaTheme="minorEastAsia" w:hAnsi="Invesco Interstate Light"/>
          <w:i/>
          <w:iCs/>
          <w:noProof/>
          <w:sz w:val="22"/>
          <w:szCs w:val="22"/>
        </w:rPr>
        <w:drawing>
          <wp:inline distT="0" distB="0" distL="0" distR="0" wp14:anchorId="460C9C30" wp14:editId="6CD0C536">
            <wp:extent cx="5760720" cy="2774950"/>
            <wp:effectExtent l="19050" t="0" r="0" b="0"/>
            <wp:docPr id="5" name="Obrázek 1" descr="Obsah obrázku text, snímek obrazovky, čtverec, diagram&#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362515" name="Obrázek 1" descr="Obsah obrázku text, snímek obrazovky, čtverec, diagram&#10;&#10;Popis byl vytvořen automaticky"/>
                    <pic:cNvPicPr/>
                  </pic:nvPicPr>
                  <pic:blipFill>
                    <a:blip r:embed="rId11" cstate="print"/>
                    <a:stretch>
                      <a:fillRect/>
                    </a:stretch>
                  </pic:blipFill>
                  <pic:spPr>
                    <a:xfrm>
                      <a:off x="0" y="0"/>
                      <a:ext cx="5760720" cy="2774950"/>
                    </a:xfrm>
                    <a:prstGeom prst="rect">
                      <a:avLst/>
                    </a:prstGeom>
                  </pic:spPr>
                </pic:pic>
              </a:graphicData>
            </a:graphic>
          </wp:inline>
        </w:drawing>
      </w:r>
      <w:r w:rsidRPr="00531DF7">
        <w:rPr>
          <w:rFonts w:ascii="Invesco Interstate Light" w:eastAsiaTheme="minorEastAsia" w:hAnsi="Invesco Interstate Light"/>
          <w:i/>
          <w:iCs/>
          <w:sz w:val="22"/>
          <w:szCs w:val="22"/>
        </w:rPr>
        <w:t xml:space="preserve"> </w:t>
      </w:r>
    </w:p>
    <w:p w14:paraId="2422CB78" w14:textId="43F857BB" w:rsidR="00531DF7" w:rsidRDefault="002C1C66" w:rsidP="00B65FF5">
      <w:pPr>
        <w:spacing w:line="276" w:lineRule="auto"/>
        <w:jc w:val="both"/>
        <w:rPr>
          <w:rFonts w:ascii="Invesco Interstate Light" w:eastAsiaTheme="minorEastAsia" w:hAnsi="Invesco Interstate Light"/>
          <w:i/>
          <w:iCs/>
          <w:sz w:val="22"/>
          <w:szCs w:val="22"/>
        </w:rPr>
      </w:pPr>
      <w:r>
        <w:rPr>
          <w:rFonts w:ascii="Invesco Interstate Light" w:eastAsiaTheme="minorEastAsia" w:hAnsi="Invesco Interstate Light"/>
          <w:i/>
          <w:iCs/>
          <w:sz w:val="22"/>
          <w:szCs w:val="22"/>
        </w:rPr>
        <w:t xml:space="preserve">Zdroj: </w:t>
      </w:r>
      <w:proofErr w:type="spellStart"/>
      <w:r>
        <w:rPr>
          <w:rFonts w:ascii="Invesco Interstate Light" w:eastAsiaTheme="minorEastAsia" w:hAnsi="Invesco Interstate Light"/>
          <w:i/>
          <w:iCs/>
          <w:sz w:val="22"/>
          <w:szCs w:val="22"/>
        </w:rPr>
        <w:t>Invesco</w:t>
      </w:r>
      <w:proofErr w:type="spellEnd"/>
    </w:p>
    <w:p w14:paraId="299147FC" w14:textId="77777777" w:rsidR="008A19AC" w:rsidRDefault="008A19AC" w:rsidP="00B65FF5">
      <w:pPr>
        <w:spacing w:line="276" w:lineRule="auto"/>
        <w:jc w:val="both"/>
        <w:rPr>
          <w:rFonts w:ascii="Invesco Interstate Light" w:hAnsi="Invesco Interstate Light"/>
          <w:b/>
          <w:bCs/>
          <w:sz w:val="22"/>
          <w:szCs w:val="22"/>
        </w:rPr>
      </w:pPr>
    </w:p>
    <w:p w14:paraId="65E47CFA" w14:textId="7FEC5BF8" w:rsidR="00531DF7" w:rsidRDefault="00531DF7" w:rsidP="00B65FF5">
      <w:pPr>
        <w:spacing w:line="276" w:lineRule="auto"/>
        <w:jc w:val="both"/>
        <w:rPr>
          <w:rFonts w:ascii="Invesco Interstate Light" w:hAnsi="Invesco Interstate Light"/>
          <w:b/>
          <w:bCs/>
          <w:sz w:val="22"/>
          <w:szCs w:val="22"/>
        </w:rPr>
      </w:pPr>
      <w:r>
        <w:rPr>
          <w:rFonts w:ascii="Invesco Interstate Light" w:hAnsi="Invesco Interstate Light"/>
          <w:b/>
          <w:bCs/>
          <w:sz w:val="22"/>
          <w:szCs w:val="22"/>
        </w:rPr>
        <w:t>Vývoj burzy futures:</w:t>
      </w:r>
    </w:p>
    <w:p w14:paraId="099B807B" w14:textId="77777777" w:rsidR="00531DF7" w:rsidRDefault="00531DF7" w:rsidP="00531DF7">
      <w:pPr>
        <w:spacing w:line="240" w:lineRule="auto"/>
        <w:rPr>
          <w:rFonts w:ascii="Invesco Interstate Light" w:hAnsi="Invesco Interstate Light"/>
          <w:b/>
          <w:bCs/>
          <w:sz w:val="22"/>
          <w:szCs w:val="22"/>
        </w:rPr>
      </w:pPr>
    </w:p>
    <w:p w14:paraId="2D9C9340" w14:textId="77777777" w:rsidR="00531DF7" w:rsidRPr="00531DF7" w:rsidRDefault="00531DF7" w:rsidP="00531DF7">
      <w:pPr>
        <w:spacing w:line="276" w:lineRule="auto"/>
        <w:jc w:val="both"/>
        <w:rPr>
          <w:rFonts w:ascii="Invesco Interstate Light" w:eastAsiaTheme="minorEastAsia" w:hAnsi="Invesco Interstate Light"/>
          <w:sz w:val="22"/>
          <w:szCs w:val="22"/>
        </w:rPr>
      </w:pPr>
      <w:r w:rsidRPr="00531DF7">
        <w:rPr>
          <w:rFonts w:ascii="Invesco Interstate Light" w:eastAsiaTheme="minorEastAsia" w:hAnsi="Invesco Interstate Light"/>
          <w:sz w:val="22"/>
          <w:szCs w:val="22"/>
        </w:rPr>
        <w:t>Některé komodity se stále nakupují a prodávají při tradičních fyzických transakcích, ale většina obchodů se nyní uskutečňuje na burzách s futures a na mimoburzovním trhu. Chicagská burza CBOT (Chicago Board of Trade) vznikla v roce 1848 jako peněžní trh pro zemědělce, kteří hledali potenciální kupce obilí. V roce 1865 CBOT zavedla standardizované termínové kontrakty, které známe dnes, čímž zefektivnila transakce a otevřela dveře dalším účastníkům. V současné době existují futures burzy ve finančních centrech po celém světě, ale pro většinu investorů jsou nejdůležitější CBOT, Chicago Mercantile Exchange (CME), New York Mercantile Exchange (NYMEX), Commodity Exchange (COMEX), Intercontinental Exchange (ICE) a London Metal Exchange (LME). Futures na komodity se obvykle obchodují pouze na jedné burze. Aspekt standardizace je velmi důležitý. Futures kontrakt má přesné specifikace, včetně množství a kvality komodity, která má být dodána, a také data expirace a dodání. Každý komoditní futures kontrakt bude mít specifikované smluvní měsíce, kdy lze obchodovat.</w:t>
      </w:r>
    </w:p>
    <w:p w14:paraId="6AC9CA4D" w14:textId="77777777" w:rsidR="00531DF7" w:rsidRPr="00B65FF5" w:rsidRDefault="00531DF7" w:rsidP="00B65FF5">
      <w:pPr>
        <w:spacing w:line="276" w:lineRule="auto"/>
        <w:jc w:val="both"/>
        <w:rPr>
          <w:rFonts w:ascii="Invesco Interstate Light" w:eastAsiaTheme="minorEastAsia" w:hAnsi="Invesco Interstate Light"/>
          <w:sz w:val="22"/>
          <w:szCs w:val="22"/>
        </w:rPr>
      </w:pPr>
    </w:p>
    <w:p w14:paraId="5A62D3D2" w14:textId="77777777" w:rsidR="00B74187" w:rsidRDefault="00B74187" w:rsidP="00B74187">
      <w:pPr>
        <w:spacing w:line="276" w:lineRule="auto"/>
      </w:pPr>
    </w:p>
    <w:p w14:paraId="1C651634" w14:textId="45835102" w:rsidR="00531DF7" w:rsidRPr="00531DF7" w:rsidRDefault="00531DF7" w:rsidP="00531DF7">
      <w:pPr>
        <w:spacing w:line="276" w:lineRule="auto"/>
        <w:jc w:val="both"/>
        <w:rPr>
          <w:rFonts w:ascii="Invesco Interstate Light" w:hAnsi="Invesco Interstate Light"/>
          <w:sz w:val="22"/>
          <w:szCs w:val="22"/>
        </w:rPr>
      </w:pPr>
      <w:r w:rsidRPr="00531DF7">
        <w:rPr>
          <w:rFonts w:ascii="Invesco Interstate Light" w:hAnsi="Invesco Interstate Light"/>
          <w:sz w:val="22"/>
          <w:szCs w:val="22"/>
        </w:rPr>
        <w:lastRenderedPageBreak/>
        <w:t xml:space="preserve">Nejčastěji se obchoduje s kontrakty "front </w:t>
      </w:r>
      <w:proofErr w:type="spellStart"/>
      <w:r w:rsidRPr="00531DF7">
        <w:rPr>
          <w:rFonts w:ascii="Invesco Interstate Light" w:hAnsi="Invesco Interstate Light"/>
          <w:sz w:val="22"/>
          <w:szCs w:val="22"/>
        </w:rPr>
        <w:t>month</w:t>
      </w:r>
      <w:proofErr w:type="spellEnd"/>
      <w:r w:rsidRPr="00531DF7">
        <w:rPr>
          <w:rFonts w:ascii="Invesco Interstate Light" w:hAnsi="Invesco Interstate Light"/>
          <w:sz w:val="22"/>
          <w:szCs w:val="22"/>
        </w:rPr>
        <w:t>", které se obvykle uzavírají na nejbližší měsíc dodání.  Obchody s futures se zúčtovávají centrálně a marže platí členové clearingového systému. Dnes s futures obchodují nejen zájemci o fyzickou komoditu, ale také investoři, kteří chtějí mít expozici vůči ceně komodity, ale nechtějí převzít fyzickou dodávku.</w:t>
      </w:r>
    </w:p>
    <w:p w14:paraId="6D11867B" w14:textId="77777777" w:rsidR="000A13F4" w:rsidRDefault="000A13F4" w:rsidP="00531DF7">
      <w:pPr>
        <w:spacing w:line="276" w:lineRule="auto"/>
        <w:jc w:val="both"/>
        <w:rPr>
          <w:rFonts w:ascii="Invesco Interstate Light" w:hAnsi="Invesco Interstate Light"/>
          <w:b/>
          <w:bCs/>
          <w:sz w:val="22"/>
          <w:szCs w:val="22"/>
        </w:rPr>
      </w:pPr>
    </w:p>
    <w:p w14:paraId="5461025C" w14:textId="77777777" w:rsidR="00531DF7" w:rsidRDefault="00531DF7" w:rsidP="00531DF7">
      <w:r w:rsidRPr="00531DF7">
        <w:rPr>
          <w:rFonts w:ascii="Invesco Interstate Light" w:hAnsi="Invesco Interstate Light"/>
          <w:b/>
          <w:bCs/>
          <w:sz w:val="22"/>
          <w:szCs w:val="22"/>
        </w:rPr>
        <w:t>Získání expozice vůči komoditám</w:t>
      </w:r>
    </w:p>
    <w:p w14:paraId="28A46FFF" w14:textId="77777777" w:rsidR="00531DF7" w:rsidRDefault="00531DF7" w:rsidP="00531DF7">
      <w:pPr>
        <w:spacing w:line="276" w:lineRule="auto"/>
        <w:jc w:val="both"/>
        <w:rPr>
          <w:rFonts w:ascii="Invesco Interstate Light" w:hAnsi="Invesco Interstate Light"/>
          <w:b/>
          <w:bCs/>
          <w:sz w:val="22"/>
          <w:szCs w:val="22"/>
        </w:rPr>
      </w:pPr>
    </w:p>
    <w:p w14:paraId="31C75549" w14:textId="686CCC16" w:rsidR="00314B14" w:rsidRDefault="00314B14" w:rsidP="00A357C8">
      <w:pPr>
        <w:spacing w:line="276" w:lineRule="auto"/>
        <w:jc w:val="both"/>
        <w:rPr>
          <w:rFonts w:ascii="Invesco Interstate Light" w:hAnsi="Invesco Interstate Light"/>
          <w:sz w:val="22"/>
          <w:szCs w:val="22"/>
        </w:rPr>
      </w:pPr>
      <w:r>
        <w:rPr>
          <w:rFonts w:ascii="Invesco Interstate Light" w:hAnsi="Invesco Interstate Light"/>
          <w:sz w:val="22"/>
          <w:szCs w:val="22"/>
        </w:rPr>
        <w:t>„</w:t>
      </w:r>
      <w:r w:rsidR="00531DF7" w:rsidRPr="003C53BD">
        <w:rPr>
          <w:rFonts w:ascii="Invesco Interstate Light" w:hAnsi="Invesco Interstate Light"/>
          <w:i/>
          <w:iCs/>
          <w:sz w:val="22"/>
          <w:szCs w:val="22"/>
        </w:rPr>
        <w:t>Některé komodity byste sice mohli nakoupit a držet fyzicky, ale je to nákladné a velmi neefektivní, když započítáte náklady na dopravu, skladování a pojištění. Museli byste také najít někoho, kdo je ochoten vám komoditu prodat, a vyjednat s ním cenu a podmínky dodání. Pokud nechcete držet komodity fyzicky</w:t>
      </w:r>
      <w:r w:rsidRPr="003C53BD">
        <w:rPr>
          <w:rFonts w:ascii="Invesco Interstate Light" w:hAnsi="Invesco Interstate Light"/>
          <w:i/>
          <w:iCs/>
          <w:sz w:val="22"/>
          <w:szCs w:val="22"/>
        </w:rPr>
        <w:t xml:space="preserve">, </w:t>
      </w:r>
      <w:r w:rsidR="00531DF7" w:rsidRPr="003C53BD">
        <w:rPr>
          <w:rFonts w:ascii="Invesco Interstate Light" w:hAnsi="Invesco Interstate Light"/>
          <w:i/>
          <w:iCs/>
          <w:sz w:val="22"/>
          <w:szCs w:val="22"/>
        </w:rPr>
        <w:t>což většina lidí nechce, ale místo toho chcete jednoduše expozici vůči jejich cenám, mohou být lepší alternativou futures kontrakty. Budete muset pamatovat na uzavření své dlouhé futures pozice nebo ji před vypršením kontraktu převést na jiný měsíc, pokud nechcete, aby se vaše pozice uzavřela. Jinak se někdo objeví před vašimi dveřmi a přiveze vám plný kamion komodity</w:t>
      </w:r>
      <w:r w:rsidR="003C53BD" w:rsidRPr="003C53BD">
        <w:rPr>
          <w:rFonts w:ascii="Invesco Interstate Light" w:hAnsi="Invesco Interstate Light"/>
          <w:i/>
          <w:iCs/>
          <w:sz w:val="22"/>
          <w:szCs w:val="22"/>
        </w:rPr>
        <w:t xml:space="preserve">,“ </w:t>
      </w:r>
      <w:r w:rsidR="003C53BD">
        <w:rPr>
          <w:rFonts w:ascii="Invesco Interstate Light" w:hAnsi="Invesco Interstate Light"/>
          <w:sz w:val="22"/>
          <w:szCs w:val="22"/>
        </w:rPr>
        <w:t xml:space="preserve">vysvětluje Eva </w:t>
      </w:r>
      <w:proofErr w:type="spellStart"/>
      <w:r w:rsidR="003C53BD">
        <w:rPr>
          <w:rFonts w:ascii="Invesco Interstate Light" w:hAnsi="Invesco Interstate Light"/>
          <w:sz w:val="22"/>
          <w:szCs w:val="22"/>
        </w:rPr>
        <w:t>Miklášová</w:t>
      </w:r>
      <w:proofErr w:type="spellEnd"/>
      <w:r w:rsidR="003C53BD">
        <w:rPr>
          <w:rFonts w:ascii="Invesco Interstate Light" w:hAnsi="Invesco Interstate Light"/>
          <w:sz w:val="22"/>
          <w:szCs w:val="22"/>
        </w:rPr>
        <w:t xml:space="preserve">, ředitelka oblasti ETF pro střední Evropu a Rakousko. </w:t>
      </w:r>
    </w:p>
    <w:p w14:paraId="4389796A" w14:textId="77777777" w:rsidR="003C53BD" w:rsidRDefault="003C53BD" w:rsidP="00A357C8">
      <w:pPr>
        <w:spacing w:line="276" w:lineRule="auto"/>
        <w:jc w:val="both"/>
        <w:rPr>
          <w:rFonts w:ascii="Invesco Interstate Light" w:hAnsi="Invesco Interstate Light"/>
          <w:sz w:val="22"/>
          <w:szCs w:val="22"/>
        </w:rPr>
      </w:pPr>
    </w:p>
    <w:p w14:paraId="7AFCB9A5" w14:textId="7AD3549F" w:rsidR="00531DF7" w:rsidRDefault="00531DF7" w:rsidP="00A357C8">
      <w:pPr>
        <w:spacing w:line="276" w:lineRule="auto"/>
        <w:jc w:val="both"/>
        <w:rPr>
          <w:rFonts w:ascii="Invesco Interstate Light" w:hAnsi="Invesco Interstate Light"/>
          <w:sz w:val="22"/>
          <w:szCs w:val="22"/>
        </w:rPr>
      </w:pPr>
      <w:r w:rsidRPr="00531DF7">
        <w:rPr>
          <w:rFonts w:ascii="Invesco Interstate Light" w:hAnsi="Invesco Interstate Light"/>
          <w:sz w:val="22"/>
          <w:szCs w:val="22"/>
        </w:rPr>
        <w:t xml:space="preserve">Futures mohou být cenově výhodné, protože </w:t>
      </w:r>
      <w:r w:rsidR="003C53BD">
        <w:rPr>
          <w:rFonts w:ascii="Invesco Interstate Light" w:hAnsi="Invesco Interstate Light"/>
          <w:sz w:val="22"/>
          <w:szCs w:val="22"/>
        </w:rPr>
        <w:t xml:space="preserve">se </w:t>
      </w:r>
      <w:r w:rsidRPr="00531DF7">
        <w:rPr>
          <w:rFonts w:ascii="Invesco Interstate Light" w:hAnsi="Invesco Interstate Light"/>
          <w:sz w:val="22"/>
          <w:szCs w:val="22"/>
        </w:rPr>
        <w:t xml:space="preserve">musí složit pouze část hodnoty kontraktu, tzv. marži </w:t>
      </w:r>
      <w:r w:rsidR="008A19AC" w:rsidRPr="008A19AC">
        <w:rPr>
          <w:rFonts w:ascii="Invesco Interstate Light" w:hAnsi="Invesco Interstate Light"/>
          <w:sz w:val="22"/>
          <w:szCs w:val="22"/>
        </w:rPr>
        <w:t>–</w:t>
      </w:r>
      <w:r w:rsidRPr="00531DF7">
        <w:rPr>
          <w:rFonts w:ascii="Invesco Interstate Light" w:hAnsi="Invesco Interstate Light"/>
          <w:sz w:val="22"/>
          <w:szCs w:val="22"/>
        </w:rPr>
        <w:t xml:space="preserve"> margin. </w:t>
      </w:r>
      <w:r w:rsidR="003C53BD">
        <w:rPr>
          <w:rFonts w:ascii="Invesco Interstate Light" w:hAnsi="Invesco Interstate Light"/>
          <w:sz w:val="22"/>
          <w:szCs w:val="22"/>
        </w:rPr>
        <w:t>Je možné, že bude investor</w:t>
      </w:r>
      <w:r w:rsidRPr="00531DF7">
        <w:rPr>
          <w:rFonts w:ascii="Invesco Interstate Light" w:hAnsi="Invesco Interstate Light"/>
          <w:sz w:val="22"/>
          <w:szCs w:val="22"/>
        </w:rPr>
        <w:t xml:space="preserve"> být požádán, aby ji doplnil, kdykoli cena futures klesne </w:t>
      </w:r>
      <w:r w:rsidR="008A19AC" w:rsidRPr="008A19AC">
        <w:rPr>
          <w:rFonts w:ascii="Invesco Interstate Light" w:hAnsi="Invesco Interstate Light"/>
          <w:sz w:val="22"/>
          <w:szCs w:val="22"/>
        </w:rPr>
        <w:t>–</w:t>
      </w:r>
      <w:r w:rsidR="008A19AC" w:rsidRPr="00531DF7">
        <w:rPr>
          <w:rFonts w:ascii="Invesco Interstate Light" w:hAnsi="Invesco Interstate Light"/>
          <w:sz w:val="22"/>
          <w:szCs w:val="22"/>
        </w:rPr>
        <w:t xml:space="preserve"> </w:t>
      </w:r>
      <w:r w:rsidRPr="00531DF7">
        <w:rPr>
          <w:rFonts w:ascii="Invesco Interstate Light" w:hAnsi="Invesco Interstate Light"/>
          <w:sz w:val="22"/>
          <w:szCs w:val="22"/>
        </w:rPr>
        <w:t>tzv. margin call.</w:t>
      </w:r>
    </w:p>
    <w:p w14:paraId="4C6AD6A4" w14:textId="77777777" w:rsidR="00A357C8" w:rsidRDefault="00A357C8" w:rsidP="00A357C8">
      <w:pPr>
        <w:spacing w:line="276" w:lineRule="auto"/>
        <w:jc w:val="both"/>
        <w:rPr>
          <w:rFonts w:ascii="Invesco Interstate Light" w:hAnsi="Invesco Interstate Light"/>
          <w:sz w:val="22"/>
          <w:szCs w:val="22"/>
        </w:rPr>
      </w:pPr>
    </w:p>
    <w:p w14:paraId="39B93A67" w14:textId="4918ACB2" w:rsidR="00A357C8" w:rsidRPr="003C53BD" w:rsidRDefault="00A357C8" w:rsidP="00A357C8">
      <w:pPr>
        <w:spacing w:line="276" w:lineRule="auto"/>
        <w:jc w:val="both"/>
        <w:rPr>
          <w:rFonts w:ascii="Invesco Interstate Light" w:eastAsiaTheme="minorEastAsia" w:hAnsi="Invesco Interstate Light"/>
          <w:sz w:val="22"/>
          <w:szCs w:val="22"/>
        </w:rPr>
      </w:pPr>
      <w:r w:rsidRPr="00A357C8">
        <w:rPr>
          <w:rFonts w:ascii="Invesco Interstate Light" w:hAnsi="Invesco Interstate Light"/>
          <w:sz w:val="22"/>
          <w:szCs w:val="22"/>
        </w:rPr>
        <w:t>Nejoblíbenějším způsobem, jak se většina investorů věnuje komoditám, jsou však burzovně obchodované produkty. Expozici vůči komoditám můžete získat prostřednictvím burzovně obchodovaných komodit (ETC), když se jedná o jednu komoditu, nebo vůči koši komodit, kterými jsou komodity reprezentované indexem BCOM, prostřednictvím ETF. Investování do těchto typů produktů poskytuje jednoduchou a nákladově efektivní expozici bez toho, aby se</w:t>
      </w:r>
      <w:r w:rsidR="00314B14">
        <w:rPr>
          <w:rFonts w:ascii="Invesco Interstate Light" w:hAnsi="Invesco Interstate Light"/>
          <w:sz w:val="22"/>
          <w:szCs w:val="22"/>
        </w:rPr>
        <w:t xml:space="preserve"> investoři</w:t>
      </w:r>
      <w:r w:rsidRPr="00A357C8">
        <w:rPr>
          <w:rFonts w:ascii="Invesco Interstate Light" w:hAnsi="Invesco Interstate Light"/>
          <w:sz w:val="22"/>
          <w:szCs w:val="22"/>
        </w:rPr>
        <w:t xml:space="preserve"> báli, že obdrží výzvy k úhradě marže, že se futures kontrakty budou obchodovat na burze nebo že se před dveřmi</w:t>
      </w:r>
      <w:r w:rsidR="00314B14">
        <w:rPr>
          <w:rFonts w:ascii="Invesco Interstate Light" w:hAnsi="Invesco Interstate Light"/>
          <w:sz w:val="22"/>
          <w:szCs w:val="22"/>
        </w:rPr>
        <w:t xml:space="preserve"> jejich domu</w:t>
      </w:r>
      <w:r w:rsidRPr="00A357C8">
        <w:rPr>
          <w:rFonts w:ascii="Invesco Interstate Light" w:hAnsi="Invesco Interstate Light"/>
          <w:sz w:val="22"/>
          <w:szCs w:val="22"/>
        </w:rPr>
        <w:t xml:space="preserve"> objeví nákladní auto. </w:t>
      </w:r>
      <w:r w:rsidR="003C53BD" w:rsidRPr="006F54BB">
        <w:rPr>
          <w:rFonts w:ascii="Invesco Interstate Light" w:eastAsiaTheme="minorEastAsia" w:hAnsi="Invesco Interstate Light"/>
          <w:sz w:val="22"/>
          <w:szCs w:val="22"/>
        </w:rPr>
        <w:t xml:space="preserve">V České republice </w:t>
      </w:r>
      <w:proofErr w:type="spellStart"/>
      <w:r w:rsidR="003C53BD" w:rsidRPr="006F54BB">
        <w:rPr>
          <w:rFonts w:ascii="Invesco Interstate Light" w:eastAsiaTheme="minorEastAsia" w:hAnsi="Invesco Interstate Light"/>
          <w:sz w:val="22"/>
          <w:szCs w:val="22"/>
        </w:rPr>
        <w:t>Invesco</w:t>
      </w:r>
      <w:proofErr w:type="spellEnd"/>
      <w:r w:rsidR="003C53BD" w:rsidRPr="006F54BB">
        <w:rPr>
          <w:rFonts w:ascii="Invesco Interstate Light" w:eastAsiaTheme="minorEastAsia" w:hAnsi="Invesco Interstate Light"/>
          <w:sz w:val="22"/>
          <w:szCs w:val="22"/>
        </w:rPr>
        <w:t xml:space="preserve"> nabízí možnost investovat do komodit </w:t>
      </w:r>
      <w:r w:rsidR="003C53BD">
        <w:rPr>
          <w:rFonts w:ascii="Invesco Interstate Light" w:eastAsiaTheme="minorEastAsia" w:hAnsi="Invesco Interstate Light"/>
          <w:sz w:val="22"/>
          <w:szCs w:val="22"/>
        </w:rPr>
        <w:t>prostřednictvím produktu</w:t>
      </w:r>
      <w:r w:rsidR="003C53BD" w:rsidRPr="006F54BB">
        <w:rPr>
          <w:rFonts w:ascii="Invesco Interstate Light" w:eastAsiaTheme="minorEastAsia" w:hAnsi="Invesco Interstate Light"/>
          <w:sz w:val="22"/>
          <w:szCs w:val="22"/>
        </w:rPr>
        <w:t xml:space="preserve"> </w:t>
      </w:r>
      <w:hyperlink r:id="rId12" w:history="1">
        <w:proofErr w:type="spellStart"/>
        <w:r w:rsidR="003C53BD" w:rsidRPr="003C53BD">
          <w:rPr>
            <w:rStyle w:val="Hypertextovodkaz"/>
            <w:rFonts w:ascii="Invesco Interstate Light" w:eastAsiaTheme="minorEastAsia" w:hAnsi="Invesco Interstate Light"/>
            <w:sz w:val="22"/>
            <w:szCs w:val="22"/>
          </w:rPr>
          <w:t>Invesco</w:t>
        </w:r>
        <w:proofErr w:type="spellEnd"/>
        <w:r w:rsidR="003C53BD" w:rsidRPr="003C53BD">
          <w:rPr>
            <w:rStyle w:val="Hypertextovodkaz"/>
            <w:rFonts w:ascii="Invesco Interstate Light" w:eastAsiaTheme="minorEastAsia" w:hAnsi="Invesco Interstate Light"/>
            <w:sz w:val="22"/>
            <w:szCs w:val="22"/>
          </w:rPr>
          <w:t xml:space="preserve"> </w:t>
        </w:r>
        <w:proofErr w:type="spellStart"/>
        <w:r w:rsidR="003C53BD" w:rsidRPr="003C53BD">
          <w:rPr>
            <w:rStyle w:val="Hypertextovodkaz"/>
            <w:rFonts w:ascii="Invesco Interstate Light" w:eastAsiaTheme="minorEastAsia" w:hAnsi="Invesco Interstate Light"/>
            <w:sz w:val="22"/>
            <w:szCs w:val="22"/>
          </w:rPr>
          <w:t>Physical</w:t>
        </w:r>
        <w:proofErr w:type="spellEnd"/>
        <w:r w:rsidR="003C53BD" w:rsidRPr="003C53BD">
          <w:rPr>
            <w:rStyle w:val="Hypertextovodkaz"/>
            <w:rFonts w:ascii="Invesco Interstate Light" w:eastAsiaTheme="minorEastAsia" w:hAnsi="Invesco Interstate Light"/>
            <w:sz w:val="22"/>
            <w:szCs w:val="22"/>
          </w:rPr>
          <w:t xml:space="preserve"> Silver ETC</w:t>
        </w:r>
      </w:hyperlink>
      <w:r w:rsidR="003C53BD" w:rsidRPr="006F54BB">
        <w:rPr>
          <w:rFonts w:ascii="Invesco Interstate Light" w:eastAsiaTheme="minorEastAsia" w:hAnsi="Invesco Interstate Light"/>
          <w:sz w:val="22"/>
          <w:szCs w:val="22"/>
        </w:rPr>
        <w:t>. Jeho cílem je zajistit výkonnost spotové ceny stříbra prostřednictvím certifikátů zajištěných stříbrnými slitky</w:t>
      </w:r>
      <w:r w:rsidR="003C53BD">
        <w:rPr>
          <w:rFonts w:ascii="Invesco Interstate Light" w:eastAsiaTheme="minorEastAsia" w:hAnsi="Invesco Interstate Light"/>
          <w:sz w:val="22"/>
          <w:szCs w:val="22"/>
        </w:rPr>
        <w:t>.</w:t>
      </w:r>
    </w:p>
    <w:p w14:paraId="12025FAE" w14:textId="77777777" w:rsidR="00B65FF5" w:rsidRDefault="00B65FF5" w:rsidP="00B65FF5">
      <w:pPr>
        <w:spacing w:line="276" w:lineRule="auto"/>
        <w:jc w:val="both"/>
        <w:rPr>
          <w:rFonts w:ascii="Invesco Interstate Light" w:eastAsiaTheme="minorEastAsia" w:hAnsi="Invesco Interstate Light"/>
          <w:sz w:val="22"/>
          <w:szCs w:val="22"/>
        </w:rPr>
      </w:pPr>
    </w:p>
    <w:p w14:paraId="001D5D06" w14:textId="77777777" w:rsidR="00B65FF5" w:rsidRPr="004E3E12" w:rsidRDefault="00A357C8" w:rsidP="00B65FF5">
      <w:pPr>
        <w:autoSpaceDE w:val="0"/>
        <w:autoSpaceDN w:val="0"/>
        <w:adjustRightInd w:val="0"/>
        <w:spacing w:line="240" w:lineRule="auto"/>
        <w:rPr>
          <w:rFonts w:ascii="Invesco Interstate Light" w:hAnsi="Invesco Interstate Light"/>
          <w:b/>
          <w:bCs/>
          <w:sz w:val="22"/>
          <w:szCs w:val="22"/>
        </w:rPr>
      </w:pPr>
      <w:r>
        <w:rPr>
          <w:rFonts w:ascii="Invesco Interstate Light" w:hAnsi="Invesco Interstate Light"/>
          <w:b/>
          <w:bCs/>
          <w:sz w:val="22"/>
          <w:szCs w:val="22"/>
        </w:rPr>
        <w:t>Proč investovat do komodit?</w:t>
      </w:r>
    </w:p>
    <w:p w14:paraId="0186553F" w14:textId="77777777" w:rsidR="00B65FF5" w:rsidRDefault="00B65FF5" w:rsidP="00B65FF5">
      <w:pPr>
        <w:spacing w:line="276" w:lineRule="auto"/>
        <w:jc w:val="both"/>
        <w:rPr>
          <w:rFonts w:ascii="Invesco Interstate Light" w:eastAsiaTheme="minorEastAsia" w:hAnsi="Invesco Interstate Light"/>
          <w:sz w:val="22"/>
          <w:szCs w:val="22"/>
        </w:rPr>
      </w:pPr>
    </w:p>
    <w:p w14:paraId="19810FDB" w14:textId="77777777" w:rsidR="00B65FF5" w:rsidRPr="00A357C8" w:rsidRDefault="00A357C8" w:rsidP="00B65FF5">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sz w:val="22"/>
          <w:szCs w:val="22"/>
        </w:rPr>
        <w:t>Komodity mohou investorům přinést tři potenciální výhody:</w:t>
      </w:r>
    </w:p>
    <w:p w14:paraId="074A0EBA" w14:textId="77777777" w:rsidR="00A357C8" w:rsidRDefault="00A357C8" w:rsidP="00B65FF5">
      <w:pPr>
        <w:spacing w:line="276" w:lineRule="auto"/>
        <w:jc w:val="both"/>
        <w:rPr>
          <w:rFonts w:ascii="Invesco Interstate Light" w:eastAsiaTheme="minorEastAsia" w:hAnsi="Invesco Interstate Light"/>
          <w:sz w:val="22"/>
          <w:szCs w:val="22"/>
        </w:rPr>
      </w:pPr>
    </w:p>
    <w:p w14:paraId="3F23BD47" w14:textId="77777777" w:rsidR="00A357C8" w:rsidRDefault="00A357C8" w:rsidP="00A357C8">
      <w:pPr>
        <w:pStyle w:val="Odstavecseseznamem"/>
        <w:numPr>
          <w:ilvl w:val="0"/>
          <w:numId w:val="31"/>
        </w:numPr>
        <w:spacing w:line="276" w:lineRule="auto"/>
        <w:jc w:val="both"/>
        <w:rPr>
          <w:rFonts w:ascii="Invesco Interstate Light" w:hAnsi="Invesco Interstate Light"/>
        </w:rPr>
      </w:pPr>
      <w:r w:rsidRPr="00A357C8">
        <w:rPr>
          <w:rFonts w:ascii="Invesco Interstate Light" w:hAnsi="Invesco Interstate Light"/>
          <w:b/>
        </w:rPr>
        <w:t>Diverzifikac</w:t>
      </w:r>
      <w:r>
        <w:rPr>
          <w:rFonts w:ascii="Invesco Interstate Light" w:hAnsi="Invesco Interstate Light"/>
          <w:b/>
        </w:rPr>
        <w:t>e</w:t>
      </w:r>
    </w:p>
    <w:p w14:paraId="5921201D" w14:textId="77777777" w:rsidR="00A357C8" w:rsidRDefault="00A357C8" w:rsidP="00A357C8">
      <w:pPr>
        <w:spacing w:line="276" w:lineRule="auto"/>
        <w:jc w:val="both"/>
        <w:rPr>
          <w:rFonts w:ascii="Invesco Interstate Light" w:eastAsiaTheme="minorEastAsia" w:hAnsi="Invesco Interstate Light"/>
        </w:rPr>
      </w:pPr>
    </w:p>
    <w:p w14:paraId="66D9D1C6" w14:textId="77777777" w:rsidR="00A357C8" w:rsidRPr="00A357C8" w:rsidRDefault="00A357C8" w:rsidP="00A357C8">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sz w:val="22"/>
          <w:szCs w:val="22"/>
        </w:rPr>
        <w:t>Komodity jako třída aktiv vykazují nízkou korelaci s akciemi a dluhopisy, což je zvláště užitečné pro dosažení diverzifikace portfolia. Jednotlivé komodity se mohou řídit širokou škálou faktorů, včetně politiky, regulace, počasí, sezónnosti a ekonomiky, ale i nabídky a poptávky, které se liší od těch, jež ovlivňují ceny akcií a dluhopisů.</w:t>
      </w:r>
    </w:p>
    <w:p w14:paraId="4D517F95" w14:textId="77777777" w:rsidR="00A357C8" w:rsidRDefault="00A357C8" w:rsidP="00A357C8">
      <w:pPr>
        <w:spacing w:line="276" w:lineRule="auto"/>
        <w:jc w:val="both"/>
        <w:rPr>
          <w:rFonts w:ascii="Invesco Interstate Light" w:eastAsiaTheme="minorEastAsia" w:hAnsi="Invesco Interstate Light"/>
          <w:sz w:val="22"/>
          <w:szCs w:val="22"/>
        </w:rPr>
      </w:pPr>
    </w:p>
    <w:p w14:paraId="4A984B20" w14:textId="77777777" w:rsidR="00A357C8" w:rsidRPr="00A357C8" w:rsidRDefault="00A357C8" w:rsidP="00A357C8">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sz w:val="22"/>
          <w:szCs w:val="22"/>
        </w:rPr>
        <w:lastRenderedPageBreak/>
        <w:t>Jak velký podíl by měl být alokován do komodit, závisí na složení stávajícího portfolia, nicméně studie naznačují, že 5-10 % může významně zlepšit profil rizika a výnosu.</w:t>
      </w:r>
    </w:p>
    <w:p w14:paraId="4F86D5DA" w14:textId="77777777" w:rsidR="00A357C8" w:rsidRPr="00A357C8" w:rsidRDefault="00A357C8" w:rsidP="00A357C8">
      <w:pPr>
        <w:spacing w:line="276" w:lineRule="auto"/>
        <w:jc w:val="both"/>
        <w:rPr>
          <w:rFonts w:ascii="Invesco Interstate Light" w:eastAsiaTheme="minorEastAsia" w:hAnsi="Invesco Interstate Light"/>
          <w:sz w:val="22"/>
          <w:szCs w:val="22"/>
        </w:rPr>
      </w:pPr>
    </w:p>
    <w:p w14:paraId="02C6F420" w14:textId="77777777" w:rsidR="00B65FF5" w:rsidRDefault="00A357C8" w:rsidP="00B65FF5">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noProof/>
          <w:sz w:val="22"/>
          <w:szCs w:val="22"/>
        </w:rPr>
        <w:drawing>
          <wp:inline distT="0" distB="0" distL="0" distR="0" wp14:anchorId="202A986A" wp14:editId="1D25CE49">
            <wp:extent cx="5517358" cy="1928027"/>
            <wp:effectExtent l="0" t="0" r="7620" b="0"/>
            <wp:docPr id="6"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60563" name="Obrázek 1" descr="Obsah obrázku text, snímek obrazovky, Písmo, Elektricky modrá&#10;&#10;Popis byl vytvořen automaticky"/>
                    <pic:cNvPicPr/>
                  </pic:nvPicPr>
                  <pic:blipFill>
                    <a:blip r:embed="rId13" cstate="print"/>
                    <a:stretch>
                      <a:fillRect/>
                    </a:stretch>
                  </pic:blipFill>
                  <pic:spPr>
                    <a:xfrm>
                      <a:off x="0" y="0"/>
                      <a:ext cx="5517358" cy="1928027"/>
                    </a:xfrm>
                    <a:prstGeom prst="rect">
                      <a:avLst/>
                    </a:prstGeom>
                  </pic:spPr>
                </pic:pic>
              </a:graphicData>
            </a:graphic>
          </wp:inline>
        </w:drawing>
      </w:r>
    </w:p>
    <w:p w14:paraId="259020A1" w14:textId="4E8E4D62" w:rsidR="00B65FF5" w:rsidRDefault="002C1C66" w:rsidP="00B65FF5">
      <w:pPr>
        <w:spacing w:line="276" w:lineRule="auto"/>
        <w:jc w:val="both"/>
        <w:rPr>
          <w:rFonts w:ascii="Invesco Interstate Light" w:eastAsiaTheme="minorEastAsia" w:hAnsi="Invesco Interstate Light"/>
          <w:i/>
          <w:iCs/>
          <w:sz w:val="22"/>
          <w:szCs w:val="22"/>
        </w:rPr>
      </w:pPr>
      <w:r w:rsidRPr="002C1C66">
        <w:rPr>
          <w:rFonts w:ascii="Invesco Interstate Light" w:eastAsiaTheme="minorEastAsia" w:hAnsi="Invesco Interstate Light"/>
          <w:i/>
          <w:iCs/>
          <w:sz w:val="22"/>
          <w:szCs w:val="22"/>
        </w:rPr>
        <w:t xml:space="preserve">Zdroj: </w:t>
      </w:r>
      <w:proofErr w:type="spellStart"/>
      <w:r w:rsidRPr="002C1C66">
        <w:rPr>
          <w:rFonts w:ascii="Invesco Interstate Light" w:eastAsiaTheme="minorEastAsia" w:hAnsi="Invesco Interstate Light"/>
          <w:i/>
          <w:iCs/>
          <w:sz w:val="22"/>
          <w:szCs w:val="22"/>
        </w:rPr>
        <w:t>Invesco</w:t>
      </w:r>
      <w:proofErr w:type="spellEnd"/>
    </w:p>
    <w:p w14:paraId="3CFBF8B6" w14:textId="77777777" w:rsidR="002C1C66" w:rsidRPr="002C1C66" w:rsidRDefault="002C1C66" w:rsidP="00B65FF5">
      <w:pPr>
        <w:spacing w:line="276" w:lineRule="auto"/>
        <w:jc w:val="both"/>
        <w:rPr>
          <w:rFonts w:ascii="Invesco Interstate Light" w:eastAsiaTheme="minorEastAsia" w:hAnsi="Invesco Interstate Light"/>
          <w:i/>
          <w:iCs/>
          <w:sz w:val="22"/>
          <w:szCs w:val="22"/>
        </w:rPr>
      </w:pPr>
    </w:p>
    <w:p w14:paraId="25409264" w14:textId="77777777" w:rsidR="00B65FF5" w:rsidRDefault="00A357C8" w:rsidP="00B65FF5">
      <w:pPr>
        <w:spacing w:line="276" w:lineRule="auto"/>
        <w:jc w:val="both"/>
        <w:rPr>
          <w:rFonts w:ascii="Invesco Interstate Light" w:hAnsi="Invesco Interstate Light"/>
          <w:b/>
          <w:bCs/>
          <w:sz w:val="22"/>
          <w:szCs w:val="22"/>
        </w:rPr>
      </w:pPr>
      <w:r>
        <w:rPr>
          <w:rFonts w:ascii="Invesco Interstate Light" w:hAnsi="Invesco Interstate Light"/>
          <w:b/>
          <w:bCs/>
          <w:sz w:val="22"/>
          <w:szCs w:val="22"/>
        </w:rPr>
        <w:t>2. Zajištění proti inflaci</w:t>
      </w:r>
    </w:p>
    <w:p w14:paraId="393CBEE6" w14:textId="77777777" w:rsidR="00B65FF5" w:rsidRDefault="00B65FF5" w:rsidP="00B65FF5">
      <w:pPr>
        <w:spacing w:line="276" w:lineRule="auto"/>
        <w:jc w:val="both"/>
        <w:rPr>
          <w:rFonts w:ascii="Invesco Interstate Light" w:hAnsi="Invesco Interstate Light"/>
          <w:b/>
          <w:bCs/>
          <w:sz w:val="22"/>
          <w:szCs w:val="22"/>
        </w:rPr>
      </w:pPr>
    </w:p>
    <w:p w14:paraId="6A745CB6" w14:textId="77777777" w:rsidR="00A357C8" w:rsidRDefault="00A357C8" w:rsidP="00A357C8">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sz w:val="22"/>
          <w:szCs w:val="22"/>
        </w:rPr>
        <w:t>Komodity mají tendenci být pozitivně korelovány s inflací, přičemž rostoucí komoditní ceny často přispívají k vyšší inflaci. Toho jsme byli svědky v posledních letech s rostoucími cenami energií a potravin, které po celém světě způsobily několikadenní inflační maxima.</w:t>
      </w:r>
    </w:p>
    <w:p w14:paraId="0D15A62F" w14:textId="77777777" w:rsidR="00A357C8" w:rsidRDefault="00A357C8" w:rsidP="00A357C8">
      <w:pPr>
        <w:spacing w:line="276" w:lineRule="auto"/>
        <w:jc w:val="both"/>
        <w:rPr>
          <w:rFonts w:ascii="Invesco Interstate Light" w:eastAsiaTheme="minorEastAsia" w:hAnsi="Invesco Interstate Light"/>
          <w:sz w:val="22"/>
          <w:szCs w:val="22"/>
        </w:rPr>
      </w:pPr>
    </w:p>
    <w:p w14:paraId="12951A6A" w14:textId="77777777" w:rsidR="00A357C8" w:rsidRDefault="00A357C8" w:rsidP="00A357C8">
      <w:pPr>
        <w:spacing w:line="276" w:lineRule="auto"/>
        <w:jc w:val="both"/>
      </w:pPr>
      <w:r w:rsidRPr="00A357C8">
        <w:rPr>
          <w:rFonts w:ascii="Invesco Interstate Light" w:eastAsiaTheme="minorEastAsia" w:hAnsi="Invesco Interstate Light"/>
          <w:noProof/>
          <w:sz w:val="22"/>
          <w:szCs w:val="22"/>
        </w:rPr>
        <w:drawing>
          <wp:inline distT="0" distB="0" distL="0" distR="0" wp14:anchorId="4E678DB3" wp14:editId="75B3FB4B">
            <wp:extent cx="5760720" cy="1961515"/>
            <wp:effectExtent l="0" t="0" r="0" b="635"/>
            <wp:docPr id="743481265" name="Obrázek 1" descr="Obsah obrázku text, snímek obrazovky, řada/pruh,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481265" name="Obrázek 1" descr="Obsah obrázku text, snímek obrazovky, řada/pruh, Vykreslený graf&#10;&#10;Popis byl vytvořen automaticky"/>
                    <pic:cNvPicPr/>
                  </pic:nvPicPr>
                  <pic:blipFill>
                    <a:blip r:embed="rId14" cstate="print"/>
                    <a:stretch>
                      <a:fillRect/>
                    </a:stretch>
                  </pic:blipFill>
                  <pic:spPr>
                    <a:xfrm>
                      <a:off x="0" y="0"/>
                      <a:ext cx="5760720" cy="1961515"/>
                    </a:xfrm>
                    <a:prstGeom prst="rect">
                      <a:avLst/>
                    </a:prstGeom>
                  </pic:spPr>
                </pic:pic>
              </a:graphicData>
            </a:graphic>
          </wp:inline>
        </w:drawing>
      </w:r>
    </w:p>
    <w:p w14:paraId="34428600" w14:textId="77777777" w:rsidR="002C1C66" w:rsidRDefault="002C1C66" w:rsidP="002C1C66">
      <w:pPr>
        <w:spacing w:line="276" w:lineRule="auto"/>
        <w:jc w:val="both"/>
        <w:rPr>
          <w:rFonts w:ascii="Invesco Interstate Light" w:eastAsiaTheme="minorEastAsia" w:hAnsi="Invesco Interstate Light"/>
          <w:i/>
          <w:iCs/>
          <w:sz w:val="22"/>
          <w:szCs w:val="22"/>
        </w:rPr>
      </w:pPr>
      <w:r w:rsidRPr="002C1C66">
        <w:rPr>
          <w:rFonts w:ascii="Invesco Interstate Light" w:eastAsiaTheme="minorEastAsia" w:hAnsi="Invesco Interstate Light"/>
          <w:i/>
          <w:iCs/>
          <w:sz w:val="22"/>
          <w:szCs w:val="22"/>
        </w:rPr>
        <w:t xml:space="preserve">Zdroj: </w:t>
      </w:r>
      <w:proofErr w:type="spellStart"/>
      <w:r w:rsidRPr="002C1C66">
        <w:rPr>
          <w:rFonts w:ascii="Invesco Interstate Light" w:eastAsiaTheme="minorEastAsia" w:hAnsi="Invesco Interstate Light"/>
          <w:i/>
          <w:iCs/>
          <w:sz w:val="22"/>
          <w:szCs w:val="22"/>
        </w:rPr>
        <w:t>Invesco</w:t>
      </w:r>
      <w:proofErr w:type="spellEnd"/>
    </w:p>
    <w:p w14:paraId="7D2316F7" w14:textId="77777777" w:rsidR="00B65FF5" w:rsidRPr="00B65FF5" w:rsidRDefault="00B65FF5" w:rsidP="005C0A15">
      <w:pPr>
        <w:spacing w:line="276" w:lineRule="auto"/>
        <w:jc w:val="both"/>
        <w:rPr>
          <w:rFonts w:ascii="Invesco Interstate Light" w:eastAsiaTheme="minorEastAsia" w:hAnsi="Invesco Interstate Light"/>
          <w:sz w:val="22"/>
          <w:szCs w:val="22"/>
        </w:rPr>
      </w:pPr>
    </w:p>
    <w:p w14:paraId="4635065A" w14:textId="77777777" w:rsidR="00A357C8" w:rsidRPr="00A357C8" w:rsidRDefault="00A357C8" w:rsidP="00A357C8">
      <w:pPr>
        <w:pStyle w:val="Odstavecseseznamem"/>
        <w:numPr>
          <w:ilvl w:val="0"/>
          <w:numId w:val="32"/>
        </w:numPr>
        <w:spacing w:line="276" w:lineRule="auto"/>
        <w:jc w:val="both"/>
        <w:rPr>
          <w:rFonts w:ascii="Invesco Interstate Light" w:hAnsi="Invesco Interstate Light"/>
          <w:b/>
          <w:bCs/>
        </w:rPr>
      </w:pPr>
      <w:r>
        <w:rPr>
          <w:rFonts w:ascii="Invesco Interstate Light" w:hAnsi="Invesco Interstate Light"/>
          <w:b/>
          <w:bCs/>
        </w:rPr>
        <w:t>Příležitosti k růstu</w:t>
      </w:r>
    </w:p>
    <w:p w14:paraId="7B419803" w14:textId="77777777" w:rsidR="00A357C8" w:rsidRPr="00A357C8" w:rsidRDefault="00A357C8" w:rsidP="00A357C8">
      <w:pPr>
        <w:pStyle w:val="Odstavecseseznamem"/>
        <w:spacing w:line="276" w:lineRule="auto"/>
        <w:jc w:val="both"/>
        <w:rPr>
          <w:rFonts w:ascii="Invesco Interstate Light" w:hAnsi="Invesco Interstate Light"/>
          <w:b/>
          <w:bCs/>
        </w:rPr>
      </w:pPr>
    </w:p>
    <w:p w14:paraId="70720EBC" w14:textId="03FDD1EC" w:rsidR="00B65FF5" w:rsidRPr="00B65FF5" w:rsidRDefault="00A357C8" w:rsidP="00B65FF5">
      <w:pPr>
        <w:spacing w:line="276" w:lineRule="auto"/>
        <w:jc w:val="both"/>
        <w:rPr>
          <w:rFonts w:ascii="Invesco Interstate Light" w:eastAsiaTheme="minorEastAsia" w:hAnsi="Invesco Interstate Light"/>
          <w:sz w:val="22"/>
          <w:szCs w:val="22"/>
        </w:rPr>
      </w:pPr>
      <w:r w:rsidRPr="00A357C8">
        <w:rPr>
          <w:rFonts w:ascii="Invesco Interstate Light" w:eastAsiaTheme="minorEastAsia" w:hAnsi="Invesco Interstate Light"/>
          <w:sz w:val="22"/>
          <w:szCs w:val="22"/>
        </w:rPr>
        <w:t xml:space="preserve">Komodity rovněž poskytují potenciální příležitosti spojené s růstem rozvíjejících se trhů nebo s přechodem na nízkoemisní hospodářství. Poptávka po průmyslových kovech by měla růst s tím, jak expanzivní ekonomika vynakládá prostředky na budování nových technologií, infrastruktury, bydlení atd. Mnoho těchto materiálů se používá také v solární, větrné a v energetice obnovitelných energetických technologií. V zemědělství se některé obiloviny </w:t>
      </w:r>
      <w:r w:rsidR="008A19AC" w:rsidRPr="008A19AC">
        <w:rPr>
          <w:rFonts w:ascii="Invesco Interstate Light" w:hAnsi="Invesco Interstate Light"/>
          <w:sz w:val="22"/>
          <w:szCs w:val="22"/>
        </w:rPr>
        <w:t>–</w:t>
      </w:r>
      <w:r w:rsidR="008A19AC" w:rsidRPr="00531DF7">
        <w:rPr>
          <w:rFonts w:ascii="Invesco Interstate Light" w:hAnsi="Invesco Interstate Light"/>
          <w:sz w:val="22"/>
          <w:szCs w:val="22"/>
        </w:rPr>
        <w:t xml:space="preserve"> </w:t>
      </w:r>
      <w:r w:rsidRPr="00A357C8">
        <w:rPr>
          <w:rFonts w:ascii="Invesco Interstate Light" w:eastAsiaTheme="minorEastAsia" w:hAnsi="Invesco Interstate Light"/>
          <w:sz w:val="22"/>
          <w:szCs w:val="22"/>
        </w:rPr>
        <w:t xml:space="preserve">zejména kukuřice </w:t>
      </w:r>
      <w:r w:rsidR="008A19AC" w:rsidRPr="008A19AC">
        <w:rPr>
          <w:rFonts w:ascii="Invesco Interstate Light" w:hAnsi="Invesco Interstate Light"/>
          <w:sz w:val="22"/>
          <w:szCs w:val="22"/>
        </w:rPr>
        <w:t>–</w:t>
      </w:r>
      <w:r w:rsidR="008A19AC" w:rsidRPr="00531DF7">
        <w:rPr>
          <w:rFonts w:ascii="Invesco Interstate Light" w:hAnsi="Invesco Interstate Light"/>
          <w:sz w:val="22"/>
          <w:szCs w:val="22"/>
        </w:rPr>
        <w:t xml:space="preserve"> </w:t>
      </w:r>
      <w:r w:rsidRPr="00A357C8">
        <w:rPr>
          <w:rFonts w:ascii="Invesco Interstate Light" w:eastAsiaTheme="minorEastAsia" w:hAnsi="Invesco Interstate Light"/>
          <w:sz w:val="22"/>
          <w:szCs w:val="22"/>
        </w:rPr>
        <w:t>také k výrobě biopaliv. To jsou jen některé z potenciálních růstových příležitostí, ke kterým můžete získat přístup prostřednictvím investice do komodit.</w:t>
      </w:r>
      <w:r w:rsidR="006F54BB">
        <w:rPr>
          <w:rFonts w:ascii="Invesco Interstate Light" w:eastAsiaTheme="minorEastAsia" w:hAnsi="Invesco Interstate Light"/>
          <w:sz w:val="22"/>
          <w:szCs w:val="22"/>
        </w:rPr>
        <w:t xml:space="preserve"> </w:t>
      </w:r>
    </w:p>
    <w:p w14:paraId="62AC3144" w14:textId="77777777" w:rsidR="00A624F1" w:rsidRPr="000061D4" w:rsidRDefault="00A624F1" w:rsidP="002D1D74">
      <w:pPr>
        <w:spacing w:line="276" w:lineRule="auto"/>
        <w:jc w:val="both"/>
        <w:rPr>
          <w:rFonts w:ascii="Invesco Interstate Light" w:eastAsiaTheme="minorEastAsia" w:hAnsi="Invesco Interstate Light"/>
          <w:sz w:val="22"/>
          <w:szCs w:val="22"/>
        </w:rPr>
      </w:pPr>
    </w:p>
    <w:p w14:paraId="02EAD7FF" w14:textId="77777777"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066D0065"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1EB4E35C" w14:textId="77777777"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C830187"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8DE5CB6" w14:textId="77777777"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3597B14F"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1779F72C" w14:textId="77777777"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3D0C13CC" w14:textId="77777777"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13605786"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720A5E0F"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12C75000" w14:textId="77777777"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0354CEDE" w14:textId="77777777"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6790DD55" w14:textId="69CE2F9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008A19AC">
        <w:rPr>
          <w:rFonts w:ascii="Invesco Interstate Light" w:hAnsi="Invesco Interstate Light"/>
          <w:sz w:val="22"/>
          <w:szCs w:val="22"/>
        </w:rPr>
        <w:t xml:space="preserve"> </w:t>
      </w:r>
      <w:r w:rsidR="008A19AC" w:rsidRPr="008A19AC">
        <w:rPr>
          <w:rFonts w:ascii="Invesco Interstate Light" w:hAnsi="Invesco Interstate Light"/>
          <w:sz w:val="22"/>
          <w:szCs w:val="22"/>
        </w:rPr>
        <w:t>–</w:t>
      </w:r>
      <w:r w:rsidR="008A19AC" w:rsidRPr="00531DF7">
        <w:rPr>
          <w:rFonts w:ascii="Invesco Interstate Light" w:hAnsi="Invesco Interstate Light"/>
          <w:sz w:val="22"/>
          <w:szCs w:val="22"/>
        </w:rPr>
        <w:t xml:space="preserve"> </w:t>
      </w:r>
      <w:r w:rsidRPr="00654055">
        <w:rPr>
          <w:rFonts w:ascii="Invesco Interstate Light" w:hAnsi="Invesco Interstate Light"/>
          <w:sz w:val="22"/>
          <w:szCs w:val="22"/>
        </w:rPr>
        <w:t xml:space="preserve">jsou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3B87F90C"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A6A12CE"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26053B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44773B2A"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D2584E4"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1367E603"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EFCA00" w14:textId="77777777"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71250B5C" w14:textId="77777777"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3531AC74"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4DB1A47F" w14:textId="77777777"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33008B7B" w14:textId="77777777" w:rsidR="00861B48" w:rsidRPr="00861B48" w:rsidRDefault="00861B48" w:rsidP="00861B48">
      <w:pPr>
        <w:spacing w:line="240" w:lineRule="auto"/>
        <w:rPr>
          <w:rFonts w:ascii="Invesco Interstate Light" w:hAnsi="Invesco Interstate Light"/>
          <w:b/>
          <w:sz w:val="22"/>
          <w:szCs w:val="22"/>
          <w:u w:val="single"/>
        </w:rPr>
      </w:pPr>
    </w:p>
    <w:p w14:paraId="36F3C460"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40C176C9"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58F6C3AD" w14:textId="77777777" w:rsidR="002355DD" w:rsidRPr="00873CBF" w:rsidRDefault="002355DD" w:rsidP="002355DD">
      <w:pPr>
        <w:spacing w:line="240" w:lineRule="exact"/>
        <w:rPr>
          <w:rFonts w:ascii="Invesco Interstate Light" w:hAnsi="Invesco Interstate Light"/>
          <w:sz w:val="22"/>
          <w:szCs w:val="22"/>
        </w:rPr>
      </w:pPr>
    </w:p>
    <w:p w14:paraId="0DBDA8B4"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3FFDC799"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5DF19F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5AF4DDD8" w14:textId="77777777" w:rsidR="002355DD" w:rsidRDefault="002355DD" w:rsidP="00907B79">
      <w:pPr>
        <w:spacing w:line="240" w:lineRule="exact"/>
      </w:pPr>
      <w:r w:rsidRPr="00873CBF">
        <w:rPr>
          <w:rFonts w:ascii="Invesco Interstate Light" w:hAnsi="Invesco Interstate Light"/>
          <w:sz w:val="22"/>
          <w:szCs w:val="22"/>
        </w:rPr>
        <w:t xml:space="preserve">e-mail: </w:t>
      </w:r>
      <w:hyperlink r:id="rId15" w:history="1">
        <w:r w:rsidRPr="00873CBF">
          <w:rPr>
            <w:rFonts w:ascii="Invesco Interstate Light" w:hAnsi="Invesco Interstate Light"/>
            <w:sz w:val="22"/>
            <w:szCs w:val="22"/>
          </w:rPr>
          <w:t>eliska.krohova@crestcom.cz</w:t>
        </w:r>
      </w:hyperlink>
    </w:p>
    <w:p w14:paraId="7EEF86A0" w14:textId="77777777" w:rsidR="00A357C8" w:rsidRPr="00907B79" w:rsidRDefault="00A357C8" w:rsidP="00907B79">
      <w:pPr>
        <w:spacing w:line="240" w:lineRule="exact"/>
        <w:rPr>
          <w:rFonts w:ascii="Invesco Interstate Light" w:hAnsi="Invesco Interstate Light"/>
          <w:sz w:val="22"/>
          <w:szCs w:val="22"/>
        </w:rPr>
      </w:pPr>
    </w:p>
    <w:sectPr w:rsidR="00A357C8" w:rsidRPr="00907B79" w:rsidSect="00D735BC">
      <w:headerReference w:type="default" r:id="rId16"/>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D72A" w14:textId="77777777" w:rsidR="00507BFE" w:rsidRDefault="00507BFE">
      <w:r>
        <w:separator/>
      </w:r>
    </w:p>
  </w:endnote>
  <w:endnote w:type="continuationSeparator" w:id="0">
    <w:p w14:paraId="3BCC3AB7" w14:textId="77777777" w:rsidR="00507BFE" w:rsidRDefault="00507BFE">
      <w:r>
        <w:continuationSeparator/>
      </w:r>
    </w:p>
  </w:endnote>
  <w:endnote w:type="continuationNotice" w:id="1">
    <w:p w14:paraId="75411CD3" w14:textId="77777777" w:rsidR="00507BFE" w:rsidRDefault="00507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CED1" w14:textId="77777777" w:rsidR="00507BFE" w:rsidRDefault="00507BFE">
      <w:r>
        <w:separator/>
      </w:r>
    </w:p>
  </w:footnote>
  <w:footnote w:type="continuationSeparator" w:id="0">
    <w:p w14:paraId="1C12400E" w14:textId="77777777" w:rsidR="00507BFE" w:rsidRDefault="00507BFE">
      <w:r>
        <w:continuationSeparator/>
      </w:r>
    </w:p>
  </w:footnote>
  <w:footnote w:type="continuationNotice" w:id="1">
    <w:p w14:paraId="693B957E" w14:textId="77777777" w:rsidR="00507BFE" w:rsidRDefault="00507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F940"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FE9FC4F" wp14:editId="5E813EB6">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4624CC63"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0CC1DE64" w14:textId="4818F142" w:rsidR="00702C33" w:rsidRPr="000730A6" w:rsidRDefault="00A357C8" w:rsidP="0083625E">
    <w:pPr>
      <w:pStyle w:val="Zhlav"/>
      <w:pBdr>
        <w:top w:val="single" w:sz="4" w:space="3" w:color="auto"/>
      </w:pBdr>
      <w:spacing w:line="298" w:lineRule="exact"/>
      <w:ind w:left="3402"/>
      <w:jc w:val="right"/>
      <w:rPr>
        <w:color w:val="000000"/>
        <w:sz w:val="28"/>
        <w:szCs w:val="28"/>
      </w:rPr>
    </w:pPr>
    <w:r>
      <w:rPr>
        <w:color w:val="000000"/>
        <w:sz w:val="28"/>
        <w:szCs w:val="28"/>
      </w:rPr>
      <w:t>2</w:t>
    </w:r>
    <w:r w:rsidR="008A19AC">
      <w:rPr>
        <w:color w:val="000000"/>
        <w:sz w:val="28"/>
        <w:szCs w:val="28"/>
      </w:rPr>
      <w:t>3</w:t>
    </w:r>
    <w:r w:rsidR="0083625E">
      <w:rPr>
        <w:color w:val="000000"/>
        <w:sz w:val="28"/>
        <w:szCs w:val="28"/>
      </w:rPr>
      <w:t>.</w:t>
    </w:r>
    <w:r>
      <w:rPr>
        <w:color w:val="000000"/>
        <w:sz w:val="28"/>
        <w:szCs w:val="28"/>
      </w:rPr>
      <w:t>10</w:t>
    </w:r>
    <w:r w:rsidR="0083625E">
      <w:rPr>
        <w:color w:val="000000"/>
        <w:sz w:val="28"/>
        <w:szCs w:val="28"/>
      </w:rPr>
      <w:t>.2023</w:t>
    </w:r>
  </w:p>
  <w:p w14:paraId="047D4F7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65D3C80"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51E6D8E9"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201C3764"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0C0979E9"/>
    <w:multiLevelType w:val="hybridMultilevel"/>
    <w:tmpl w:val="283ABE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0D647B"/>
    <w:multiLevelType w:val="hybridMultilevel"/>
    <w:tmpl w:val="39BAEF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630B23"/>
    <w:multiLevelType w:val="multilevel"/>
    <w:tmpl w:val="11820CCE"/>
    <w:numStyleLink w:val="FormatvorlageAufgezhlt"/>
  </w:abstractNum>
  <w:abstractNum w:abstractNumId="16"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80165B8"/>
    <w:multiLevelType w:val="hybridMultilevel"/>
    <w:tmpl w:val="1BD884E6"/>
    <w:lvl w:ilvl="0" w:tplc="14BCEC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8795710">
    <w:abstractNumId w:val="0"/>
  </w:num>
  <w:num w:numId="2" w16cid:durableId="411783731">
    <w:abstractNumId w:val="12"/>
  </w:num>
  <w:num w:numId="3" w16cid:durableId="665091332">
    <w:abstractNumId w:val="20"/>
  </w:num>
  <w:num w:numId="4" w16cid:durableId="1401293080">
    <w:abstractNumId w:val="13"/>
  </w:num>
  <w:num w:numId="5" w16cid:durableId="217521865">
    <w:abstractNumId w:val="15"/>
  </w:num>
  <w:num w:numId="6" w16cid:durableId="1685329295">
    <w:abstractNumId w:val="22"/>
  </w:num>
  <w:num w:numId="7" w16cid:durableId="1578828182">
    <w:abstractNumId w:val="23"/>
  </w:num>
  <w:num w:numId="8" w16cid:durableId="1629975226">
    <w:abstractNumId w:val="1"/>
  </w:num>
  <w:num w:numId="9" w16cid:durableId="1761679728">
    <w:abstractNumId w:val="25"/>
  </w:num>
  <w:num w:numId="10" w16cid:durableId="1716927321">
    <w:abstractNumId w:val="11"/>
  </w:num>
  <w:num w:numId="11" w16cid:durableId="283461126">
    <w:abstractNumId w:val="4"/>
  </w:num>
  <w:num w:numId="12" w16cid:durableId="89489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5247757">
    <w:abstractNumId w:val="30"/>
  </w:num>
  <w:num w:numId="14" w16cid:durableId="216820816">
    <w:abstractNumId w:val="31"/>
  </w:num>
  <w:num w:numId="15" w16cid:durableId="1267889811">
    <w:abstractNumId w:val="19"/>
  </w:num>
  <w:num w:numId="16" w16cid:durableId="1863664197">
    <w:abstractNumId w:val="7"/>
  </w:num>
  <w:num w:numId="17" w16cid:durableId="76677738">
    <w:abstractNumId w:val="2"/>
  </w:num>
  <w:num w:numId="18" w16cid:durableId="1279608384">
    <w:abstractNumId w:val="21"/>
  </w:num>
  <w:num w:numId="19" w16cid:durableId="399715814">
    <w:abstractNumId w:val="24"/>
  </w:num>
  <w:num w:numId="20" w16cid:durableId="1272587261">
    <w:abstractNumId w:val="28"/>
  </w:num>
  <w:num w:numId="21" w16cid:durableId="1724522083">
    <w:abstractNumId w:val="27"/>
  </w:num>
  <w:num w:numId="22" w16cid:durableId="583224944">
    <w:abstractNumId w:val="10"/>
  </w:num>
  <w:num w:numId="23" w16cid:durableId="1259756860">
    <w:abstractNumId w:val="18"/>
  </w:num>
  <w:num w:numId="24" w16cid:durableId="1510289740">
    <w:abstractNumId w:val="14"/>
  </w:num>
  <w:num w:numId="25" w16cid:durableId="289173266">
    <w:abstractNumId w:val="29"/>
  </w:num>
  <w:num w:numId="26" w16cid:durableId="49691424">
    <w:abstractNumId w:val="16"/>
  </w:num>
  <w:num w:numId="27" w16cid:durableId="1833178362">
    <w:abstractNumId w:val="3"/>
  </w:num>
  <w:num w:numId="28" w16cid:durableId="12001191">
    <w:abstractNumId w:val="6"/>
  </w:num>
  <w:num w:numId="29" w16cid:durableId="2043552666">
    <w:abstractNumId w:val="26"/>
  </w:num>
  <w:num w:numId="30" w16cid:durableId="533151254">
    <w:abstractNumId w:val="9"/>
  </w:num>
  <w:num w:numId="31" w16cid:durableId="536478855">
    <w:abstractNumId w:val="17"/>
  </w:num>
  <w:num w:numId="32" w16cid:durableId="11198365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1C66"/>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B14"/>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327"/>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53BD"/>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07BFE"/>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1DF7"/>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54BB"/>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513"/>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34E1"/>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2FAB"/>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3B2"/>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9AC"/>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7C8"/>
    <w:rsid w:val="00A35BEF"/>
    <w:rsid w:val="00A362D9"/>
    <w:rsid w:val="00A36422"/>
    <w:rsid w:val="00A37469"/>
    <w:rsid w:val="00A41238"/>
    <w:rsid w:val="00A41792"/>
    <w:rsid w:val="00A4218F"/>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5CE"/>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EEF60E"/>
  <w15:docId w15:val="{0E11E562-5CDE-47E5-8765-47394739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styleId="Nevyeenzmnka">
    <w:name w:val="Unresolved Mention"/>
    <w:basedOn w:val="Standardnpsmoodstavce"/>
    <w:uiPriority w:val="99"/>
    <w:semiHidden/>
    <w:unhideWhenUsed/>
    <w:rsid w:val="003C5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invescohub.com/cz/kiids/IE00B43VDT70_kid_c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liska.krohova@crestcom.c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FDC6085-C529-4804-8443-1C2B3321FB85}">
  <ds:schemaRefs>
    <ds:schemaRef ds:uri="http://schemas.openxmlformats.org/officeDocument/2006/bibliography"/>
  </ds:schemaRefs>
</ds:datastoreItem>
</file>

<file path=customXml/itemProps4.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1009</Words>
  <Characters>5959</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2023-10-23T08:38:00Z</dcterms:created>
  <dcterms:modified xsi:type="dcterms:W3CDTF">2023-10-23T08:38:00Z</dcterms:modified>
</cp:coreProperties>
</file>